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57" w:rsidRDefault="001D4E7D">
      <w:pPr>
        <w:spacing w:line="560" w:lineRule="exact"/>
        <w:rPr>
          <w:rFonts w:asciiTheme="minorEastAsia" w:eastAsiaTheme="minorEastAsia" w:hAnsiTheme="minorEastAsia" w:cstheme="minorEastAsia"/>
          <w:b/>
          <w:bCs/>
          <w:color w:val="3E3E3E"/>
          <w:sz w:val="36"/>
          <w:szCs w:val="36"/>
          <w:shd w:val="clear" w:color="auto" w:fill="FE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E3E3E"/>
          <w:sz w:val="36"/>
          <w:szCs w:val="36"/>
          <w:shd w:val="clear" w:color="auto" w:fill="FEFFFF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color w:val="3E3E3E"/>
          <w:sz w:val="36"/>
          <w:szCs w:val="36"/>
          <w:shd w:val="clear" w:color="auto" w:fill="FEFFFF"/>
        </w:rPr>
        <w:t>1</w:t>
      </w:r>
    </w:p>
    <w:p w:rsidR="00AF6C57" w:rsidRDefault="00AF6C57">
      <w:pPr>
        <w:spacing w:line="56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color w:val="3E3E3E"/>
          <w:sz w:val="28"/>
          <w:szCs w:val="28"/>
          <w:shd w:val="clear" w:color="auto" w:fill="FEFFFF"/>
        </w:rPr>
      </w:pPr>
    </w:p>
    <w:p w:rsidR="00AF6C57" w:rsidRDefault="00AF6C57">
      <w:pPr>
        <w:spacing w:line="56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color w:val="3E3E3E"/>
          <w:sz w:val="28"/>
          <w:szCs w:val="28"/>
          <w:shd w:val="clear" w:color="auto" w:fill="FEFFFF"/>
        </w:rPr>
      </w:pPr>
    </w:p>
    <w:p w:rsidR="00AF6C57" w:rsidRDefault="001D4E7D">
      <w:pPr>
        <w:spacing w:line="56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color w:val="3E3E3E"/>
          <w:sz w:val="28"/>
          <w:szCs w:val="28"/>
          <w:shd w:val="clear" w:color="auto" w:fill="FE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E3E3E"/>
          <w:sz w:val="28"/>
          <w:szCs w:val="28"/>
          <w:shd w:val="clear" w:color="auto" w:fill="FEFFFF"/>
        </w:rPr>
        <w:t>珠海市优秀科普作品资助办法（试行）</w:t>
      </w:r>
    </w:p>
    <w:p w:rsidR="00AF6C57" w:rsidRDefault="001D4E7D">
      <w:pPr>
        <w:spacing w:line="560" w:lineRule="exact"/>
        <w:rPr>
          <w:rFonts w:asciiTheme="minorEastAsia" w:eastAsiaTheme="minorEastAsia" w:hAnsiTheme="minorEastAsia" w:cstheme="minorEastAsia"/>
          <w:color w:val="3E3E3E"/>
          <w:sz w:val="28"/>
          <w:szCs w:val="28"/>
          <w:shd w:val="clear" w:color="auto" w:fill="FEFFFF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第一章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总则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第一条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为贯彻落实《全民科学素质行动计划纲要》，更好地调动全社会的力量，激励广大科技工作者和有关宣传、新闻、出版机构参与科普创作的积极性，推动我市科普作品的出版、创作，促进科技与艺术、科技与文化的结合，推动大众科技传播，丰富我市自然与人文科学发展，发现优秀科普作品创作人才，壮大科普作品创作队伍，提高科普作品创作水平，繁荣我市的科普事业，特制定本办法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第二章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资助范围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第二条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资助的科普作品以向大众普及宣传科学知识为主要目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的，作品的载体可以是文字、图画或基于数字技术的视频媒体等，所述内容具有一定的科学性、操作性、普及性、可读性和通俗性。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第三条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资助的科普作品范围包括以下两类：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一、近三年内，主要由珠海本地作者（指拥有珠海户籍或工作、学习关系在珠海，下同）完成的科普作品。其中，本地作者应为第一或第二作者。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二、近三年内，以珠海为创作主题的科普作品。本类作品不限定为本地作者创作，主题范围主要包括介绍珠海特定的自然风土、介绍珠海重大科技活动、宣传和反映珠海科技工作者风采等。在本类作品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lastRenderedPageBreak/>
        <w:t>中，珠海主题内容的篇幅或时长应占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总篇幅或总时长的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60%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以上。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首次开展优秀科普作品项目资助，申报作品的创作完成时限放宽为近五年内。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</w:t>
      </w:r>
    </w:p>
    <w:p w:rsidR="00AF6C57" w:rsidRDefault="001D4E7D">
      <w:pPr>
        <w:spacing w:line="560" w:lineRule="exact"/>
        <w:rPr>
          <w:rFonts w:asciiTheme="minorEastAsia" w:eastAsiaTheme="minorEastAsia" w:hAnsiTheme="minorEastAsia" w:cstheme="minorEastAsia"/>
          <w:color w:val="3E3E3E"/>
          <w:sz w:val="28"/>
          <w:szCs w:val="28"/>
          <w:shd w:val="clear" w:color="auto" w:fill="FEFFFF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第三章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作品类别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第四条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申报作品必须是已完成的原创科普作品成品（含已正式出版和未正式出版的作品），类别包括：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一、科普图书类：主要由本地作者完成或以珠海为创作主题，在国内出版单位正式出版的科学普及读物。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二、科普影视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DV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作品类：主要由本地作者完成或以珠海为创作主题，利用影像技术，制作完成的用于科普宣传的电视节目或影片。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三、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科普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动漫作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品类：主要由本地作者完成或以珠海为创作主题，基于数字技术，运用各类绘画软件或图形、图像处理软件制作完成的作品。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第五条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本办法资助的科普作品不包括未成册出版的科普文章、摄影以及影视片段等。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第四章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内容要求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第六条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申报作品应具有较高的思想性、科学性、时代性、趣味性、艺术性和通俗性；内容健康向上，启迪智慧，激励人们爱科学、学科学、用科学；不涉及国家法律相抵触的内容。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第七条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各类申报作品内容应符合以下要求：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一、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科普图书类：主题鲜明，图文并茂，浅显易懂，具备完整性、可推广性、可复制性等特点的科普图书，包括著作、编选作品、翻译图书。图书的主要语言应为汉语。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二、科普影视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DV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作品类：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lastRenderedPageBreak/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1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、主题突出，寓意明确，围绕活动主题拍摄、制作完成，表现的科学知识生动活泼。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2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、画面稳定，无跳动、闪烁和变色，画面清晰，层次分明，色彩自然，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无跳帧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漏帧现象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3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、配音应采用标准的普通话，音质清晰，无杂音；声音和画面同步，音量适中，不失真，无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明显过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大过小或时大时小，无明显背景噪声。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三、科普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动漫作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品类：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1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、围绕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活动主题，创作的单幅漫画、四格漫画、多格漫画等，或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FLASH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动画、三维动画、影视动画等。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2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、主题突出、集中鲜明，结构紧凑，内容完整，形式生动。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3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、配音应采用标准的普通话，音质清晰，无杂音；声音和画面同步，音量适中，不失真，无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明显过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大过小或时大时小，无明显背景噪声。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第五章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知识产权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第八条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申报作品必须为原创作品，不得剽窃、抄袭他人的作品，不得侵犯第三方的专利权、著作权、商标权、名誉权等合法权益。如有涉嫌抄袭或侵犯他人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合法权益的，取消申报和资助资格；如涉及版权纠纷的，由作者本人负责。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第九条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为了维护申报者的合法权益，申报者应根据需要在申报前向有关部门申请知识产权方面的保护。否则，由此可能在公开申报评审过程中给申报者造成的损失，评审、资助单位不承担任何法律责任。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因申报单位或个人参加申报资助活动而产生的法律后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lastRenderedPageBreak/>
        <w:t>果（包括但不限于侵犯第三人专利权、著作权、商标权、肖像权、名誉权和隐私权等）由申报者自行承担，评审、资助单位对此不承担任何法律责任。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第十一条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所有作品的图片、声音、文字、图像的版权归原创作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者所有，市科协对依据本办法评定资助的科普作品享有公益性推广、普及的权利。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第六章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申报要求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第十二条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符合上述类别、主题范围和具体要求的各类科普作品都可申报。个人和单位均可申报，申报不收取报名、评审费，所有申报作品恕</w:t>
      </w:r>
      <w:proofErr w:type="gramStart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退稿。每项作品限报一次，无论是否获得项目资助，不接受以往已申报过的同一作品再次申报。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第十三条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优秀科普作品资助的申报时间为每年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8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月。申报作品须于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8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月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1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日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-25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日内将申报材料报送到市科协科普部。申报材料包括：《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珠海市优秀科普作品资助项目申报书》一式三份及电子版，科普图书、漫画样册、科普动画、科普影视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DV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作品光碟等（一式三份）。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第七章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评审程序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第十四条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由市科协科普部对申报作品进行资格审查，符合本办法第二条至第八条要求的作品被视为有效申报作品。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第十五条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设立评审委员会，评审委员会办公室设在市科协科普部。办公室根据有效申报作品的内容聘请专家进行评审。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第十六条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通过专家评审的作品提交市科协办公会议审定，根据作品的特点、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创作成本以及社会影响等因素，在申报的科普作品中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lastRenderedPageBreak/>
        <w:t>择优给予资助。审定通过的项目在珠海市科协网站上进行公示（公示期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5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天），公示期内无异议的项目下达项目资助通知。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第八章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资助方式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第十七条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资助方式包括现金资助、购买作品或作品使用权等。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第十八条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对获得市科协资助的科普创作作品，市科协将择优协助推荐申报中国科协、省科协有关科普创作资助计划项目及科普创作大赛。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  <w:t>                                </w:t>
      </w:r>
    </w:p>
    <w:p w:rsidR="00AF6C57" w:rsidRDefault="001D4E7D">
      <w:pPr>
        <w:spacing w:line="560" w:lineRule="exact"/>
        <w:rPr>
          <w:rFonts w:asciiTheme="minorEastAsia" w:eastAsiaTheme="minorEastAsia" w:hAnsiTheme="minorEastAsia" w:cstheme="minorEastAsia"/>
          <w:color w:val="3E3E3E"/>
          <w:sz w:val="28"/>
          <w:szCs w:val="28"/>
          <w:shd w:val="clear" w:color="auto" w:fill="FEFFFF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第九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附则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br/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 xml:space="preserve">　　第十九条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  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  <w:shd w:val="clear" w:color="auto" w:fill="FEFFFF"/>
        </w:rPr>
        <w:t>本办法自下发之日起试行，由珠海市科协负责解释。</w:t>
      </w:r>
    </w:p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/>
    <w:p w:rsidR="00AF6C57" w:rsidRDefault="00AF6C57">
      <w:pPr>
        <w:rPr>
          <w:rFonts w:asciiTheme="minorEastAsia" w:eastAsiaTheme="minorEastAsia" w:hAnsiTheme="minorEastAsia" w:cstheme="minorEastAsia"/>
          <w:sz w:val="36"/>
          <w:szCs w:val="36"/>
        </w:rPr>
      </w:pPr>
      <w:bookmarkStart w:id="0" w:name="_GoBack"/>
      <w:bookmarkEnd w:id="0"/>
    </w:p>
    <w:sectPr w:rsidR="00AF6C57">
      <w:headerReference w:type="default" r:id="rId8"/>
      <w:footerReference w:type="first" r:id="rId9"/>
      <w:pgSz w:w="11906" w:h="16838"/>
      <w:pgMar w:top="1134" w:right="1701" w:bottom="1134" w:left="1701" w:header="851" w:footer="1701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7D" w:rsidRDefault="001D4E7D">
      <w:r>
        <w:separator/>
      </w:r>
    </w:p>
  </w:endnote>
  <w:endnote w:type="continuationSeparator" w:id="0">
    <w:p w:rsidR="001D4E7D" w:rsidRDefault="001D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57" w:rsidRDefault="001D4E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D92F7F" wp14:editId="05FFF8F3">
              <wp:simplePos x="0" y="0"/>
              <wp:positionH relativeFrom="column">
                <wp:posOffset>60325</wp:posOffset>
              </wp:positionH>
              <wp:positionV relativeFrom="paragraph">
                <wp:posOffset>353695</wp:posOffset>
              </wp:positionV>
              <wp:extent cx="5600700" cy="0"/>
              <wp:effectExtent l="0" t="28575" r="0" b="28575"/>
              <wp:wrapSquare wrapText="bothSides"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1" o:spid="_x0000_s1026" o:spt="20" style="position:absolute;left:0pt;margin-left:4.75pt;margin-top:27.85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8csotNIAAAAH&#10;AQAADwAAAGRycy9kb3ducmV2LnhtbE2OzU6EMBSF9ya+Q3NN3DkFE3RAykQxszBxw6j7Dr0Cob0l&#10;tMzg23uNC12en5zzlbvVWXHCOQyeFKSbBARS681AnYL3t/3NFkSImoy2nlDBFwbYVZcXpS6MP1OD&#10;p0PsBI9QKLSCPsapkDK0PTodNn5C4uzTz05HlnMnzazPPO6svE2SO+n0QPzQ6wnrHtvxsDgFL4+v&#10;41Md66Z5tmO+rh9LXu9RqeurNHkAEXGNf2X4wWd0qJjp6BcyQVgFecZFBVl2D4LjbZ6ycfw1ZFXK&#10;//zVN1BLAwQUAAAACACHTuJAZ2mzjMYBAACSAwAADgAAAGRycy9lMm9Eb2MueG1srVNNb9swDL0P&#10;2H8QdF/sFEg7GHF6aJZeii7Auh/ASJQtTF+Q1Dj596OUNF3byzDMB5kSqcfHR2p5e7CG7TEm7V3P&#10;57OWM3TCS+2Gnv982nz5ylnK4CQY77DnR0z8dvX503IKHV750RuJkRGIS90Uej7mHLqmSWJEC2nm&#10;AzpyKh8tZNrGoZERJkK3prlq2+tm8lGG6AWmRKfrk5OvKr5SKPJ3pRJmZnpO3HJdY113ZW1WS+iG&#10;CGHU4kwD/oGFBe0o6QVqDRnYc9QfoKwW0Sev8kx423iltMBaA1Uzb99V82OEgLUWEieFi0zp/8GK&#10;x/02Mi17vuDMgaUWPWiHbF6UmULqKODObeN5l8I2ljIPKtrypwLYoap5vKiJh8wEHS6u2/amJdHF&#10;i695vRhiyvfoLStGzw3lrPrB/iFlSkahLyElj3FsIsSb+aLgAQ2KMpDJtIGo51G7J2rgrwqRvNFy&#10;o40pF1Mcdncmsj3QAGw2LX2lMoJ/E1ZyrSGNp7jqOo3GiCC/OcnyMZA0jmaYFyYWJWcGaeSLRYDQ&#10;ZdDmbyIptXHEoIh7krNYOy+P1IjnEPUwkiBV/xpDja98z0NaJuvPfUV6fUq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HLKLTSAAAABwEAAA8AAAAAAAAAAQAgAAAAIgAAAGRycy9kb3ducmV2Lnht&#10;bFBLAQIUABQAAAAIAIdO4kBnabOMxgEAAJIDAAAOAAAAAAAAAAEAIAAAACEBAABkcnMvZTJvRG9j&#10;LnhtbFBLBQYAAAAABgAGAFkBAABZBQAAAAA=&#10;">
              <v:fill on="f" focussize="0,0"/>
              <v:stroke weight="4.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7D" w:rsidRDefault="001D4E7D">
      <w:r>
        <w:separator/>
      </w:r>
    </w:p>
  </w:footnote>
  <w:footnote w:type="continuationSeparator" w:id="0">
    <w:p w:rsidR="001D4E7D" w:rsidRDefault="001D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57" w:rsidRDefault="00AF6C5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4AFE"/>
    <w:rsid w:val="001D4E7D"/>
    <w:rsid w:val="00994818"/>
    <w:rsid w:val="00AF6C57"/>
    <w:rsid w:val="50640358"/>
    <w:rsid w:val="660C4AFE"/>
    <w:rsid w:val="6BCA5D4C"/>
    <w:rsid w:val="75C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Strong"/>
    <w:basedOn w:val="a0"/>
    <w:qFormat/>
    <w:rPr>
      <w:b/>
    </w:rPr>
  </w:style>
  <w:style w:type="paragraph" w:customStyle="1" w:styleId="dahei">
    <w:name w:val="dahei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Strong"/>
    <w:basedOn w:val="a0"/>
    <w:qFormat/>
    <w:rPr>
      <w:b/>
    </w:rPr>
  </w:style>
  <w:style w:type="paragraph" w:customStyle="1" w:styleId="dahei">
    <w:name w:val="dahei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MW</cp:lastModifiedBy>
  <cp:revision>2</cp:revision>
  <dcterms:created xsi:type="dcterms:W3CDTF">2017-09-15T00:53:00Z</dcterms:created>
  <dcterms:modified xsi:type="dcterms:W3CDTF">2017-09-21T01:17:00Z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